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9A" w:rsidRPr="0068389A" w:rsidRDefault="0068389A" w:rsidP="006838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38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Мониторинг информационных комплексов обеспечения доступной среды на 20.05.2014 г.</w:t>
      </w:r>
    </w:p>
    <w:p w:rsidR="0068389A" w:rsidRPr="0068389A" w:rsidRDefault="0068389A" w:rsidP="0068389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мониторинга информационных комплексов обеспечения доступной среды для людей с ограничениями по зрению.</w:t>
      </w:r>
    </w:p>
    <w:p w:rsidR="0068389A" w:rsidRPr="0068389A" w:rsidRDefault="0068389A" w:rsidP="0068389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состоянию на 20.10.2015 г.)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Пятого заседания Учёного совета по вопросам комплексной реабилитации инвалидов при НУ ИПРПП ВОС «</w:t>
      </w:r>
      <w:proofErr w:type="spellStart"/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Реакомп</w:t>
      </w:r>
      <w:proofErr w:type="spellEnd"/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состоявшегося 2 декабря 2013 г., Рабочей группой по проведению сравнительной оценки информационных комплексов обеспечения доступной среды для инвалидов по зрению (далее – Рабочая группа) ведётся мониторинг данных комплексов с целью сравнительной оценки их на основе информации, доступной для членов Рабочей группы.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производителей данных информационных комплексов («ООО </w:t>
      </w:r>
      <w:proofErr w:type="spellStart"/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Круст</w:t>
      </w:r>
      <w:proofErr w:type="spellEnd"/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» «</w:t>
      </w:r>
      <w:proofErr w:type="spellStart"/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Рукэп</w:t>
      </w:r>
      <w:proofErr w:type="spellEnd"/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Спецтехноприбор</w:t>
      </w:r>
      <w:proofErr w:type="spellEnd"/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группа разработчиков СТЗ «</w:t>
      </w:r>
      <w:proofErr w:type="spellStart"/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Oriense</w:t>
      </w:r>
      <w:proofErr w:type="spellEnd"/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») в начале июля 2013 года был разослан запрос о предоставлении в Институт образцов комплексов и документации для проведения соответствующей сравнительной оценки.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всех разработчиков информационных комплексов, образцы своей продукции и пользовательскую документацию для комплексной экспертной оценки в сентябре 2013 года смогла представить только компания «</w:t>
      </w:r>
      <w:proofErr w:type="spellStart"/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Рукэп</w:t>
      </w:r>
      <w:proofErr w:type="spellEnd"/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разработчик комплекса «Эхо-сити». Остальные доступные Рабочей группе разработчики информационных комплексов представили пользовательскую информацию о комплексах и, частично, их образцы на выставке «Интеграция: жизнь, общество – 2014», прошедшей в Москве 23 – 25 апреля 2014 года. Следует отметить, что оценки, базирующиеся на информации и образцы комплексов, представленные на выставке, не могут являться полными, так как не отражают всего функционала этих комплексов. Однако, данные оценки могут послужить базой для более глубоких исследований комплексов в случае необходимости проведения этой работы.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838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   Эхо сити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комплекс «Эхо сити» представляет собой совокупность средств ориентирования в ближней и средней зоне, а также интеграцию со средствами глобального позиционирования.</w:t>
      </w:r>
    </w:p>
    <w:p w:rsidR="0068389A" w:rsidRPr="0068389A" w:rsidRDefault="0068389A" w:rsidP="006838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ориентирования в ближней зоне «эхо сонар» основано на использовании ультразвука и обеспечивает информирование о препятствиях подачей щелчков различного тона и интенсивности;</w:t>
      </w:r>
    </w:p>
    <w:p w:rsidR="0068389A" w:rsidRPr="0068389A" w:rsidRDefault="0068389A" w:rsidP="006838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Средство ориентирования в средней зоне «ИК маяк» основано на использовании инфракрасного излучения и обеспечивает информирование голосовыми сообщениями, передаваемыми от инфракрасных маяков, расположенных на объектах социальной структуры и общественного транспорта, также предполагается возможность информирования водителя общественного транспорта о присутствии инвалида на остановке;</w:t>
      </w:r>
    </w:p>
    <w:p w:rsidR="0068389A" w:rsidRPr="0068389A" w:rsidRDefault="0068389A" w:rsidP="006838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со средствами глобального позиционирования позволяет взаимодействовать со средством глобальной навигации по каналу </w:t>
      </w:r>
      <w:proofErr w:type="spellStart"/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образцов и изучение документации показали следующее:</w:t>
      </w:r>
    </w:p>
    <w:p w:rsidR="0068389A" w:rsidRPr="0068389A" w:rsidRDefault="0068389A" w:rsidP="006838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«эхо сонара» представляется малоэффективным т.к.: </w:t>
      </w:r>
    </w:p>
    <w:p w:rsidR="0068389A" w:rsidRPr="0068389A" w:rsidRDefault="0068389A" w:rsidP="0068389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длительного и сложного обучения;</w:t>
      </w:r>
    </w:p>
    <w:p w:rsidR="0068389A" w:rsidRPr="0068389A" w:rsidRDefault="0068389A" w:rsidP="0068389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Дезориентирует и утомляет незрячего;</w:t>
      </w:r>
    </w:p>
    <w:p w:rsidR="0068389A" w:rsidRPr="0068389A" w:rsidRDefault="0068389A" w:rsidP="0068389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дает четкой картины расположения препятствий.</w:t>
      </w:r>
    </w:p>
    <w:p w:rsidR="0068389A" w:rsidRPr="0068389A" w:rsidRDefault="0068389A" w:rsidP="0068389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«ИК маяка» представляется удобным при ориентировании в помещениях, на улице для определения точного местоположения объекта и на общественном транспорте. ИК излучение не чувствительно к погодным условиям и радиопомехам, что позволит использовать ИК маяки в любых условиях. Так же за счет распространения ИК излучения только в прямой видимости незрячий может правильно определить направление.</w:t>
      </w:r>
    </w:p>
    <w:p w:rsidR="0068389A" w:rsidRPr="0068389A" w:rsidRDefault="0068389A" w:rsidP="006838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со средствами глобального позиционирования предполагает использование гарнитуры (наушников), через которые поступает информация от Эхо Сонара и приемника ИК сигнала в качестве </w:t>
      </w:r>
      <w:proofErr w:type="spellStart"/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-гарнитуры для подключения к смартфону или подобному устройству, обеспечивающему навигацию </w:t>
      </w:r>
      <w:proofErr w:type="gramStart"/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средством</w:t>
      </w:r>
      <w:proofErr w:type="gramEnd"/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глобального позиционирования -ГЛОНАС, GPS.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838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Заключение.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«Эхо сити» может быть использован для ориентирования незрячих людей в городской среде при условии пересмотра способа информирования Эхо Сонаром незрячего о препятствиях или полного исключения Эхо Сонара из комплекса.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838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  Говорящий город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«</w:t>
      </w:r>
      <w:proofErr w:type="spellStart"/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Спецтехноприбор</w:t>
      </w:r>
      <w:proofErr w:type="spellEnd"/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представила комплекс «Говорящий город», основанный на применении радио информаторов, которые непрерывно передают по радиоканалу на абонентское устройство пользователя сообщения об объектах социальной структуры и общественного транспорта. Абонентское устройство позволяет переводить радиомаяк в режим подачи звуковых сигналов для точного </w:t>
      </w: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определения объекта. На общественном транспорте абонентское устройство позволяет информировать водителя о присутствии инвалида на остановке. Также абонентское устройство интегрируется со средствами глобального позиционирования GPS, ГЛОНАС.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документации и результатов тестирования показали следующее:</w:t>
      </w:r>
    </w:p>
    <w:p w:rsidR="0068389A" w:rsidRPr="0068389A" w:rsidRDefault="0068389A" w:rsidP="006838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передачи радиомаяка зависит от погодных условий;</w:t>
      </w:r>
    </w:p>
    <w:p w:rsidR="0068389A" w:rsidRPr="0068389A" w:rsidRDefault="0068389A" w:rsidP="006838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подачи звукового сигнала удобен, но ни во всех случаях: на улице где высокий уровень шума, в помещениях, где он может создавать помеху, несколько расположенных и одновременно активированных источника сигнала могут дезориентировать незрячего;</w:t>
      </w:r>
    </w:p>
    <w:p w:rsidR="0068389A" w:rsidRPr="0068389A" w:rsidRDefault="0068389A" w:rsidP="006838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радиомаяков, расположенных близко друг к другу могут улавливаться абонентским устройством одновременно, что недопустимо;</w:t>
      </w:r>
    </w:p>
    <w:p w:rsidR="0068389A" w:rsidRPr="0068389A" w:rsidRDefault="0068389A" w:rsidP="006838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работу радиомаяков могут влиять другие устройства, работающие в радиодиапазоне.</w:t>
      </w:r>
    </w:p>
    <w:p w:rsidR="0068389A" w:rsidRPr="0068389A" w:rsidRDefault="0068389A" w:rsidP="006838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 может распространяться ни только в прямой видимости, но и через препятствия, что удобно для информирования незрячего о маршрутах следования до объекта и на общественном транспорте, если затруднительна возможность прямой видимости. При этом четкое определение нахождения требуемого объекта затруднительно.</w:t>
      </w:r>
    </w:p>
    <w:p w:rsidR="0068389A" w:rsidRPr="0068389A" w:rsidRDefault="0068389A" w:rsidP="0068389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Абонентское устройство имеет возможность использования с системой глобального позиционирования.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может быть использован:</w:t>
      </w:r>
    </w:p>
    <w:p w:rsidR="0068389A" w:rsidRPr="0068389A" w:rsidRDefault="0068389A" w:rsidP="0068389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(городах), где мало радиоизлучающих устройств;</w:t>
      </w:r>
    </w:p>
    <w:p w:rsidR="0068389A" w:rsidRPr="0068389A" w:rsidRDefault="0068389A" w:rsidP="0068389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 основном невысокий уровень шума;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данного комплекса в больших городах не представляется достаточно эффективным.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838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Доступный город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«ООО </w:t>
      </w:r>
      <w:proofErr w:type="spellStart"/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Круст</w:t>
      </w:r>
      <w:proofErr w:type="spellEnd"/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представила новый информационный комплекс «Доступный город», который основан на применении </w:t>
      </w:r>
      <w:proofErr w:type="spellStart"/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радиоинформатора</w:t>
      </w:r>
      <w:proofErr w:type="spellEnd"/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(маяка), передающего по запросу пользователя информацию по радиоканалу на его абонентское устройство или через собственный динамик об объекте, на котором данный маяк установлен. Маяки могут быть установлены на социально-значимых объектах и общественном транспорте. При попадании в зону действия маяка абонентское устройство информирует пользователя и тот может </w:t>
      </w: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активировать маяк на передачу сообщения. Также с абонентского устройства пользователь может информировать водителя общественного транспорта. Маяки предназначены для использования как на улице, так и в помещении. </w:t>
      </w:r>
      <w:proofErr w:type="spellStart"/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Радиоинформатор</w:t>
      </w:r>
      <w:proofErr w:type="spellEnd"/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радиоканал на частоте 2.4 ГГц.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Абонентское устройство интегрируется со средствами глобального позиционирования GPS ГЛОНАС и позволяет строить маршруты, и направлять незрячего согласно данного маршрута. Эти устройства управляются голосовыми командами.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ближней зоне для ориентирования предполагается применение говорящих табличек «НОТТ» с записанной на них информацией, дублирующей плоскопечатные и </w:t>
      </w:r>
      <w:proofErr w:type="spellStart"/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брайлевские</w:t>
      </w:r>
      <w:proofErr w:type="spellEnd"/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таблички. Данные таблички предназначены для использования в помещениях.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образца маяка и абонентского устройства на выставке «Интеграция. Жизнь. Общество 2014» и знакомство с предложенными материалами по работе комплекса показали:</w:t>
      </w:r>
    </w:p>
    <w:p w:rsidR="0068389A" w:rsidRPr="0068389A" w:rsidRDefault="0068389A" w:rsidP="0068389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«Доступный город» не обеспечивает возможности ориентирования в ближней зоне на улице;</w:t>
      </w:r>
    </w:p>
    <w:p w:rsidR="0068389A" w:rsidRPr="0068389A" w:rsidRDefault="0068389A" w:rsidP="0068389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частично обеспечивает возможность ориентирования в ближней зоне в помещениях.</w:t>
      </w:r>
    </w:p>
    <w:p w:rsidR="0068389A" w:rsidRPr="0068389A" w:rsidRDefault="0068389A" w:rsidP="0068389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обеспечивает возможность ориентирования в средней зоне на улице и в помещениях;</w:t>
      </w:r>
    </w:p>
    <w:p w:rsidR="0068389A" w:rsidRPr="0068389A" w:rsidRDefault="0068389A" w:rsidP="0068389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обеспечивает возможность ориентирования при помощи спутниковой навигации.</w:t>
      </w:r>
    </w:p>
    <w:p w:rsidR="0068389A" w:rsidRPr="0068389A" w:rsidRDefault="0068389A" w:rsidP="0068389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на частоте 2.4 ГГц работает достаточно много цифровых устройств (радиотелефоны, устройства </w:t>
      </w:r>
      <w:proofErr w:type="spellStart"/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WiFi</w:t>
      </w:r>
      <w:proofErr w:type="spellEnd"/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 может негативно сказаться на качестве приема.</w:t>
      </w:r>
    </w:p>
    <w:p w:rsidR="0068389A" w:rsidRPr="0068389A" w:rsidRDefault="0068389A" w:rsidP="0068389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Голосовые команды в условиях городского шума не </w:t>
      </w:r>
      <w:proofErr w:type="spellStart"/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приемлимы</w:t>
      </w:r>
      <w:proofErr w:type="spellEnd"/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838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Заключение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система удобна для незрячих людей и представляет широкий спектр возможностей. Использование в городах допустимо, но некоторые функции (голосовые команды) могут работать некорректно.</w:t>
      </w:r>
    </w:p>
    <w:p w:rsidR="0068389A" w:rsidRPr="0068389A" w:rsidRDefault="0068389A" w:rsidP="0068389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838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  STEP-HEAR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«</w:t>
      </w:r>
      <w:proofErr w:type="spellStart"/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Proamco</w:t>
      </w:r>
      <w:proofErr w:type="spellEnd"/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реализует навигационную систему для незрячих «STEP-HEAR», которая состоит из Базового блока и браслета-активатора. Базовый блок с предварительно записанной информацией устанавливается в ключевых местах передвижения незрячих людей. При попадании пользователя с Активатором в зону Базового блока (настраивается от 3 до 10 м), Активатор издаёт звуковой и вибросигнал. Нажатие на кнопку активатора – запускает записанные сообщения на Базовом блоке о расположенных поблизости объектах и предлагающие </w:t>
      </w: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точечную звуковую навигацию. Система предназначена для применения на улице и в помещении. Работает система в радиодиапазоне 433-900 МГц.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838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Заключение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подробной документации показало, что:</w:t>
      </w:r>
    </w:p>
    <w:p w:rsidR="0068389A" w:rsidRPr="0068389A" w:rsidRDefault="0068389A" w:rsidP="0068389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«STEP-HEAR» не обеспечивает возможности ориентирования в ближней зоне на улице.</w:t>
      </w:r>
    </w:p>
    <w:p w:rsidR="0068389A" w:rsidRPr="0068389A" w:rsidRDefault="0068389A" w:rsidP="0068389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частично обеспечивает возможность ориентирования в ближней зоне в помещении;</w:t>
      </w:r>
    </w:p>
    <w:p w:rsidR="0068389A" w:rsidRPr="0068389A" w:rsidRDefault="0068389A" w:rsidP="0068389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обеспечивает возможность ориентирования в средней зоне на улице и в помещении;</w:t>
      </w:r>
    </w:p>
    <w:p w:rsidR="0068389A" w:rsidRPr="0068389A" w:rsidRDefault="0068389A" w:rsidP="0068389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не обеспечивает работу со спутниковой навигацией.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система не является полноценным комплексом ориентирования и лишь может служить дополнением к более совершенному комплексу.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838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Парус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«Исток Аудио» представила новую навигационную систему «Парус», Предназначенную для ориентирования незрячих людей на улице и в помещении. Система состоит из индивидуальных абонентских устройств (браслетов-активаторов) и громкоговорителей с функцией записи и воспроизведения любых речевых сообщений.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попадании пользователя с браслетом в зону действия громкоговорителя происходит вибрация браслета. В этом случае, нажав одну из 3 кнопок браслета, пользователь имеет возможность инициировать воспроизведение одного из трёх предварительно записанных сообщений (как правило, информация о местонахождении пользователя, препятствиях на пути следования, а также о возможности выполнить те или иные действия).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громкоговорители имеют защиту от дождя и мощный морозостойкий резервный аккумулятор, питаются от бытовой сети 220 В, а также возможность подключения к системе общего оповещения в учреждении (100 В), что делают устройство многофункциональным.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838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Заключение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образца громкоговорителя и абонентского устройства на выставке «Интеграция. Жизнь. Общество 2014» и знакомство с предложенными материалами по работе системы показали:</w:t>
      </w:r>
    </w:p>
    <w:p w:rsidR="0068389A" w:rsidRPr="0068389A" w:rsidRDefault="0068389A" w:rsidP="0068389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«Парус» не обеспечивает возможности ориентирования в ближней зоне на улице;</w:t>
      </w:r>
    </w:p>
    <w:p w:rsidR="0068389A" w:rsidRPr="0068389A" w:rsidRDefault="0068389A" w:rsidP="0068389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 частично обеспечивает возможность ориентирования в ближней зоне в помещении;</w:t>
      </w:r>
    </w:p>
    <w:p w:rsidR="0068389A" w:rsidRPr="0068389A" w:rsidRDefault="0068389A" w:rsidP="0068389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обеспечивает возможность ориентирования в средней зоне на улице и в помещении;</w:t>
      </w:r>
    </w:p>
    <w:p w:rsidR="0068389A" w:rsidRPr="0068389A" w:rsidRDefault="0068389A" w:rsidP="0068389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не обеспечивает работу со спутниковой навигацией.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система не является полноценным комплексом ориентирования и лишь может служить дополнением к более совершенному комплексу.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Примечание.</w:t>
      </w: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отметить схожесть реализации систем «STEP-HEAR» и «Парус».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838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  Система технического зрения «</w:t>
      </w:r>
      <w:proofErr w:type="spellStart"/>
      <w:r w:rsidRPr="006838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Oriense</w:t>
      </w:r>
      <w:proofErr w:type="spellEnd"/>
      <w:r w:rsidRPr="006838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основана на анализе изображения, полученного с портативной камеры и передаче его незрячему в виде речевых сообщений, описывающих препятствия, расположенные в поле зрения объектива камеры. Таким образом незрячий может свободно перемещаться и обходить препятствия.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предложенной документации показало, что:</w:t>
      </w:r>
    </w:p>
    <w:p w:rsidR="0068389A" w:rsidRPr="0068389A" w:rsidRDefault="0068389A" w:rsidP="0068389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позволяет получать сообщения о препятствиях, расположенных на пути следования незрячего;</w:t>
      </w:r>
    </w:p>
    <w:p w:rsidR="0068389A" w:rsidRPr="0068389A" w:rsidRDefault="0068389A" w:rsidP="0068389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выдает рекомендации о возможных путях обхода препятствия;</w:t>
      </w:r>
    </w:p>
    <w:p w:rsidR="0068389A" w:rsidRPr="0068389A" w:rsidRDefault="0068389A" w:rsidP="0068389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позволяет получать информацию об окружающей среде;</w:t>
      </w:r>
    </w:p>
    <w:p w:rsidR="0068389A" w:rsidRPr="0068389A" w:rsidRDefault="0068389A" w:rsidP="0068389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перспективе система сможет распознавать текст, номеров общественного транспорта, цвета светофора, а также интеграция с системой глобального позиционирования.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838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Заключение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«</w:t>
      </w:r>
      <w:proofErr w:type="spellStart"/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Oriense</w:t>
      </w:r>
      <w:proofErr w:type="spellEnd"/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представляется завершенным комплексом ориентирования в городской среде. Данная система может служить дополнением к одной из имеющихся систем ориентирования в городской среде. На настоящий момент применение ее невозможно.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рассмотренным комплексам следует отметить, что они развиваются, и протестированные образцы достаточно быстро совершенствуются.</w:t>
      </w:r>
    </w:p>
    <w:p w:rsidR="0068389A" w:rsidRPr="0068389A" w:rsidRDefault="0068389A" w:rsidP="0068389A">
      <w:pPr>
        <w:spacing w:before="36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89A" w:rsidRPr="0068389A" w:rsidRDefault="0068389A" w:rsidP="0068389A">
      <w:pPr>
        <w:spacing w:before="100" w:beforeAutospacing="1" w:after="100" w:afterAutospacing="1" w:line="480" w:lineRule="atLeast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838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  Информационный комплекс ООО "</w:t>
      </w:r>
      <w:proofErr w:type="spellStart"/>
      <w:r w:rsidRPr="006838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Семивер</w:t>
      </w:r>
      <w:proofErr w:type="spellEnd"/>
      <w:r w:rsidRPr="0068389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</w:t>
      </w:r>
    </w:p>
    <w:p w:rsidR="0068389A" w:rsidRPr="0068389A" w:rsidRDefault="0068389A" w:rsidP="0068389A">
      <w:pPr>
        <w:spacing w:before="36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Данный проектируемый информационный комплекс предусматривает возможность определение объектов при навигации в открытом пространстве, а также внутри помещений с помощью смартфона, имеющегося у пользователя, и специальных сигнальных точек, установленных разработчиками. </w:t>
      </w:r>
    </w:p>
    <w:p w:rsidR="0068389A" w:rsidRPr="0068389A" w:rsidRDefault="0068389A" w:rsidP="0068389A">
      <w:pPr>
        <w:spacing w:before="36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Изучение документации и ознакомление с материалом, представленном в ходе обсуждения концепции комплекса позволяет определить:</w:t>
      </w:r>
    </w:p>
    <w:p w:rsidR="0068389A" w:rsidRPr="0068389A" w:rsidRDefault="0068389A" w:rsidP="0068389A">
      <w:pPr>
        <w:spacing w:before="36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7"/>
          <w:szCs w:val="27"/>
          <w:lang w:eastAsia="ru-RU"/>
        </w:rPr>
        <w:t>1. Система имеет возможность позволять незрячему ориентироваться в открытом пространстве.</w:t>
      </w:r>
    </w:p>
    <w:p w:rsidR="0068389A" w:rsidRPr="0068389A" w:rsidRDefault="0068389A" w:rsidP="0068389A">
      <w:pPr>
        <w:spacing w:before="36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7"/>
          <w:szCs w:val="27"/>
          <w:lang w:eastAsia="ru-RU"/>
        </w:rPr>
        <w:t>2. С помощью данной системы незрячий пользователь может получить возможность с высокой степенью точности ориентироваться внутри помещений.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89A" w:rsidRPr="0068389A" w:rsidRDefault="0068389A" w:rsidP="0068389A">
      <w:pPr>
        <w:spacing w:before="36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рассмотренным комплексам следует отметить, что они развиваются, и протестированные образцы достаточно быстро совершенствуются.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Обобщённо, результаты сравнительной оценки приведены в таблице 1.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информационных комплексов обеспечения доступной среды для инвалидов по зрению (на основе представленной документации и образцов техники)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750"/>
        <w:gridCol w:w="1834"/>
        <w:gridCol w:w="1831"/>
        <w:gridCol w:w="1830"/>
        <w:gridCol w:w="1830"/>
        <w:gridCol w:w="1830"/>
        <w:gridCol w:w="1830"/>
        <w:gridCol w:w="1830"/>
        <w:gridCol w:w="1830"/>
      </w:tblGrid>
      <w:tr w:rsidR="0068389A" w:rsidRPr="0068389A" w:rsidTr="0068389A"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Параметр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«Эхо-сити»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«Говорящий город»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Доступный город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Step Hear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Парус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Oriense</w:t>
            </w:r>
            <w:proofErr w:type="spellEnd"/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Информационный комплекс ООО «</w:t>
            </w:r>
            <w:proofErr w:type="spellStart"/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Семивер</w:t>
            </w:r>
            <w:proofErr w:type="spellEnd"/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68389A" w:rsidRPr="0068389A" w:rsidTr="0068389A"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Соответствие реального функционала комплексов их свойствам, заявленным в документации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Тестировался, находится в разработке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тестировался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Полное тестирование не проведено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тестировался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Полное тестирование не проведено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тестировался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тестировался</w:t>
            </w:r>
          </w:p>
        </w:tc>
      </w:tr>
      <w:tr w:rsidR="0068389A" w:rsidRPr="0068389A" w:rsidTr="0068389A"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Основные возможности при ориентировании в открытом пространстве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Высокие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Высокие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Средние</w:t>
            </w:r>
          </w:p>
        </w:tc>
      </w:tr>
      <w:tr w:rsidR="0068389A" w:rsidRPr="0068389A" w:rsidTr="0068389A"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2.1.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Возможности навигации на местности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Определение объектов с помощью передающих устройств плюс использование </w:t>
            </w: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GPS</w:t>
            </w: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ГЛОНАСС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Только там, где установлены передающие устройства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Определение объектов с помощью передающих устройств плюс использование </w:t>
            </w: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GPS</w:t>
            </w: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ГЛОНАСС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Только там, где установлены передающие устройства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Только там, где установлены передающие устройства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Только с помощью видеокамеры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Определение объектов с помощью передающих устройств плюс использование </w:t>
            </w: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GPS</w:t>
            </w: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ГЛОНАСС</w:t>
            </w:r>
          </w:p>
        </w:tc>
      </w:tr>
      <w:tr w:rsidR="0068389A" w:rsidRPr="0068389A" w:rsidTr="0068389A"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2.2.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Возможности поиска и определения объектов в населённом пункте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 же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 же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 же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 же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 же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Только с помощью видеокамеры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 же</w:t>
            </w:r>
          </w:p>
        </w:tc>
      </w:tr>
      <w:tr w:rsidR="0068389A" w:rsidRPr="0068389A" w:rsidTr="0068389A">
        <w:trPr>
          <w:gridBefore w:val="1"/>
          <w:wBefore w:w="3" w:type="pct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Возможности ориентирования на транспорте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Требуется установка оборудования в каждое транспортное </w:t>
            </w: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средство. Не поддерживает связи с водителем. Поддерживает мобильные устройства связи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Требуется установка оборудования в каждое транспортное </w:t>
            </w: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средство. Поддерживает связь с водителем. Не поддерживает мобильных устройств связи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Требуется установка оборудования в каждое транспортное </w:t>
            </w: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средство. Поддерживает связь с водителем. Не поддерживает мобильные устройства связи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Возможность не заявлена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Возможность не заявлена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Только с помощью видеокамеры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Возможность не заявлена</w:t>
            </w:r>
          </w:p>
        </w:tc>
      </w:tr>
      <w:tr w:rsidR="0068389A" w:rsidRPr="0068389A" w:rsidTr="0068389A">
        <w:trPr>
          <w:gridBefore w:val="1"/>
          <w:wBefore w:w="3" w:type="pct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2.4.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Возможности выбора и степень универсальности инструментария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Внутренний, </w:t>
            </w: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GPS</w:t>
            </w: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ГЛОНАСС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Только внутренний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Внутренний, </w:t>
            </w: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GPS</w:t>
            </w: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ГЛОНАСС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Только внутренний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Только внутренний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Внутренний, </w:t>
            </w: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GPS</w:t>
            </w: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ГЛОНАСС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Внутренний, </w:t>
            </w: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GPS</w:t>
            </w: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ГЛОНАСС</w:t>
            </w:r>
          </w:p>
        </w:tc>
      </w:tr>
      <w:tr w:rsidR="0068389A" w:rsidRPr="0068389A" w:rsidTr="0068389A">
        <w:trPr>
          <w:gridBefore w:val="1"/>
          <w:wBefore w:w="3" w:type="pct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Ориентирование внутри зданий и сооружений.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Высокие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Высокие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Высокие</w:t>
            </w:r>
          </w:p>
        </w:tc>
      </w:tr>
      <w:tr w:rsidR="0068389A" w:rsidRPr="0068389A" w:rsidTr="0068389A">
        <w:trPr>
          <w:gridBefore w:val="1"/>
          <w:wBefore w:w="3" w:type="pct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3.1.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Возможности навигации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Есть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Есть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9A" w:rsidRPr="0068389A" w:rsidRDefault="0068389A" w:rsidP="0068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Есть</w:t>
            </w:r>
          </w:p>
        </w:tc>
      </w:tr>
      <w:tr w:rsidR="0068389A" w:rsidRPr="0068389A" w:rsidTr="0068389A">
        <w:trPr>
          <w:gridBefore w:val="1"/>
          <w:wBefore w:w="3" w:type="pct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9A" w:rsidRPr="0068389A" w:rsidRDefault="0068389A" w:rsidP="0068389A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389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9A" w:rsidRPr="0068389A" w:rsidRDefault="0068389A" w:rsidP="006838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89A">
              <w:rPr>
                <w:rFonts w:ascii="Times New Roman" w:hAnsi="Times New Roman" w:cs="Times New Roman"/>
                <w:sz w:val="24"/>
                <w:szCs w:val="24"/>
              </w:rPr>
              <w:t>Возможности поиска объектов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9A" w:rsidRPr="0068389A" w:rsidRDefault="0068389A" w:rsidP="006838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89A">
              <w:rPr>
                <w:rFonts w:ascii="Times New Roman" w:hAnsi="Times New Roman" w:cs="Times New Roman"/>
                <w:sz w:val="24"/>
                <w:szCs w:val="24"/>
              </w:rPr>
              <w:t>Указывает объекты направленно, «ведёт» к каждому объекту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9A" w:rsidRPr="0068389A" w:rsidRDefault="0068389A" w:rsidP="006838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89A">
              <w:rPr>
                <w:rFonts w:ascii="Times New Roman" w:hAnsi="Times New Roman" w:cs="Times New Roman"/>
                <w:sz w:val="24"/>
                <w:szCs w:val="24"/>
              </w:rPr>
              <w:t>Перечисляет список объектов, доступных в помещении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9A" w:rsidRPr="0068389A" w:rsidRDefault="0068389A" w:rsidP="006838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89A">
              <w:rPr>
                <w:rFonts w:ascii="Times New Roman" w:hAnsi="Times New Roman" w:cs="Times New Roman"/>
                <w:sz w:val="24"/>
                <w:szCs w:val="24"/>
              </w:rPr>
              <w:t>Перечисляет список объектов, доступных в помещении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9A" w:rsidRPr="0068389A" w:rsidRDefault="0068389A" w:rsidP="006838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89A">
              <w:rPr>
                <w:rFonts w:ascii="Times New Roman" w:hAnsi="Times New Roman" w:cs="Times New Roman"/>
                <w:sz w:val="24"/>
                <w:szCs w:val="24"/>
              </w:rPr>
              <w:t>Указывает объекты направленно, «ведёт» к каждому объекту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9A" w:rsidRPr="0068389A" w:rsidRDefault="0068389A" w:rsidP="006838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89A">
              <w:rPr>
                <w:rFonts w:ascii="Times New Roman" w:hAnsi="Times New Roman" w:cs="Times New Roman"/>
                <w:sz w:val="24"/>
                <w:szCs w:val="24"/>
              </w:rPr>
              <w:t>Указывает объекты направленно, «ведёт» к каждому объекту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9A" w:rsidRPr="0068389A" w:rsidRDefault="0068389A" w:rsidP="006838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8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9A" w:rsidRPr="0068389A" w:rsidRDefault="0068389A" w:rsidP="006838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89A">
              <w:rPr>
                <w:rFonts w:ascii="Times New Roman" w:hAnsi="Times New Roman" w:cs="Times New Roman"/>
                <w:sz w:val="24"/>
                <w:szCs w:val="24"/>
              </w:rPr>
              <w:t>Указывает объекты направленно, «ведёт» к каждому объекту</w:t>
            </w:r>
          </w:p>
        </w:tc>
      </w:tr>
    </w:tbl>
    <w:p w:rsidR="0072612B" w:rsidRDefault="0072612B" w:rsidP="0068389A"/>
    <w:p w:rsidR="0068389A" w:rsidRDefault="0068389A" w:rsidP="0068389A"/>
    <w:p w:rsidR="0068389A" w:rsidRDefault="0068389A" w:rsidP="0068389A"/>
    <w:p w:rsidR="0068389A" w:rsidRDefault="0068389A" w:rsidP="0068389A">
      <w:pPr>
        <w:sectPr w:rsidR="0068389A" w:rsidSect="0068389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8389A" w:rsidRPr="0068389A" w:rsidRDefault="0068389A" w:rsidP="00683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согласно изучению материалов и образцов (включая презентации производителей), системы «Эхо-сити» и «Доступный город» имеют более предпочтительные параметры, с точки зрения их использования инвалидами по зрению при ориентировке, прежде всего – за счёт интеграции с системами глобального позиционирования, отражённой в документации на комплекс.</w:t>
      </w:r>
    </w:p>
    <w:p w:rsidR="0068389A" w:rsidRPr="0068389A" w:rsidRDefault="0068389A" w:rsidP="0068389A">
      <w:pPr>
        <w:spacing w:before="100" w:beforeAutospacing="1" w:after="4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информационные комплексы обеспечения доступной среды для инвалидов по зрению быстро развиваются и совершенствуются. Поэтому Рабочая группа видит необходимость проведения мониторинга таких комплексов на постоянной основе и подготовки материалов по сравнению их качественных характеристик, с точки зрения использования людьми с ограничениями по зрению каждые 6 месяцев.</w:t>
      </w:r>
    </w:p>
    <w:p w:rsidR="0068389A" w:rsidRPr="0068389A" w:rsidRDefault="0068389A" w:rsidP="0068389A">
      <w:pPr>
        <w:spacing w:before="100" w:beforeAutospacing="1" w:after="4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68389A">
        <w:rPr>
          <w:rFonts w:ascii="Times New Roman" w:eastAsia="Times New Roman" w:hAnsi="Times New Roman" w:cs="Times New Roman"/>
          <w:sz w:val="27"/>
          <w:szCs w:val="27"/>
          <w:lang w:eastAsia="ru-RU"/>
        </w:rPr>
        <w:t>К.Э.Н., зав. Сектором исследования социально-трудовых отношений и определения возможностей трудоустройства инвалидов по зрению АУ ВОС К.А. Лапшин.</w:t>
      </w:r>
    </w:p>
    <w:p w:rsidR="0068389A" w:rsidRPr="0068389A" w:rsidRDefault="0068389A" w:rsidP="006838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Главный специалист отдела информационных технологий НУ ИПРПП ВОС «</w:t>
      </w:r>
      <w:proofErr w:type="spellStart"/>
      <w:r w:rsidRPr="0068389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Реакомп</w:t>
      </w:r>
      <w:proofErr w:type="spellEnd"/>
      <w:r w:rsidRPr="0068389A">
        <w:rPr>
          <w:rFonts w:ascii="Times New Roman" w:eastAsia="Times New Roman" w:hAnsi="Times New Roman" w:cs="Times New Roman"/>
          <w:sz w:val="27"/>
          <w:szCs w:val="27"/>
          <w:lang w:eastAsia="ru-RU"/>
        </w:rPr>
        <w:t>» А.В. Елагин.</w:t>
      </w:r>
    </w:p>
    <w:p w:rsidR="0068389A" w:rsidRPr="0068389A" w:rsidRDefault="0068389A" w:rsidP="006838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Главный специалист отдела информационных технологий Института «</w:t>
      </w:r>
      <w:proofErr w:type="spellStart"/>
      <w:r w:rsidRPr="0068389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Реакомп</w:t>
      </w:r>
      <w:proofErr w:type="spellEnd"/>
      <w:r w:rsidRPr="006838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И.Э. </w:t>
      </w:r>
      <w:proofErr w:type="spellStart"/>
      <w:r w:rsidRPr="0068389A">
        <w:rPr>
          <w:rFonts w:ascii="Times New Roman" w:eastAsia="Times New Roman" w:hAnsi="Times New Roman" w:cs="Times New Roman"/>
          <w:sz w:val="27"/>
          <w:szCs w:val="27"/>
          <w:lang w:eastAsia="ru-RU"/>
        </w:rPr>
        <w:t>Чучканов</w:t>
      </w:r>
      <w:proofErr w:type="spellEnd"/>
      <w:r w:rsidRPr="0068389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8389A" w:rsidRPr="0068389A" w:rsidRDefault="0068389A" w:rsidP="006838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7"/>
          <w:szCs w:val="27"/>
          <w:lang w:eastAsia="ru-RU"/>
        </w:rPr>
        <w:t>Инженер-программист технического отдела ИПРТ «Логос» ВОС А.Г. Базаров.</w:t>
      </w:r>
    </w:p>
    <w:p w:rsidR="0068389A" w:rsidRPr="0068389A" w:rsidRDefault="0068389A" w:rsidP="006838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Приглашаем всех разработчиков информационных комплексов обеспечения доступной среды для людей с ограничениями по зрению направлять информацию о своих устройствах для изучения специалистами Рабочей группы.</w:t>
      </w:r>
    </w:p>
    <w:p w:rsidR="0068389A" w:rsidRPr="0068389A" w:rsidRDefault="0068389A" w:rsidP="00683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Метки не заданы </w:t>
      </w:r>
    </w:p>
    <w:p w:rsidR="0068389A" w:rsidRPr="0068389A" w:rsidRDefault="0068389A" w:rsidP="0068389A">
      <w:bookmarkStart w:id="0" w:name="_GoBack"/>
      <w:bookmarkEnd w:id="0"/>
    </w:p>
    <w:sectPr w:rsidR="0068389A" w:rsidRPr="0068389A" w:rsidSect="0068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25FEF"/>
    <w:multiLevelType w:val="multilevel"/>
    <w:tmpl w:val="5C26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177C8"/>
    <w:multiLevelType w:val="multilevel"/>
    <w:tmpl w:val="F6FE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401EC"/>
    <w:multiLevelType w:val="multilevel"/>
    <w:tmpl w:val="BD1C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E13175"/>
    <w:multiLevelType w:val="multilevel"/>
    <w:tmpl w:val="23642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A07D5A"/>
    <w:multiLevelType w:val="multilevel"/>
    <w:tmpl w:val="5EC4F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6F0F79"/>
    <w:multiLevelType w:val="multilevel"/>
    <w:tmpl w:val="7CE04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267184"/>
    <w:multiLevelType w:val="multilevel"/>
    <w:tmpl w:val="33CC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487179"/>
    <w:multiLevelType w:val="multilevel"/>
    <w:tmpl w:val="E91EE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EC7CD7"/>
    <w:multiLevelType w:val="multilevel"/>
    <w:tmpl w:val="5240E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3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71"/>
    <w:rsid w:val="00486871"/>
    <w:rsid w:val="0068389A"/>
    <w:rsid w:val="0072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C4BE0-B43C-487E-A77C-AD8B7332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2499</Words>
  <Characters>14245</Characters>
  <Application>Microsoft Office Word</Application>
  <DocSecurity>0</DocSecurity>
  <Lines>118</Lines>
  <Paragraphs>33</Paragraphs>
  <ScaleCrop>false</ScaleCrop>
  <Company/>
  <LinksUpToDate>false</LinksUpToDate>
  <CharactersWithSpaces>16711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Т.В.</dc:creator>
  <cp:keywords/>
  <dc:description/>
  <cp:lastModifiedBy>Суворова Т.В.</cp:lastModifiedBy>
  <cp:revision>2</cp:revision>
  <dcterms:created xsi:type="dcterms:W3CDTF">2019-10-22T11:54:00Z</dcterms:created>
  <dcterms:modified xsi:type="dcterms:W3CDTF">2019-10-22T11:58:00Z</dcterms:modified>
</cp:coreProperties>
</file>